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ascii="微软雅黑" w:hAnsi="微软雅黑" w:eastAsia="微软雅黑" w:cs="微软雅黑"/>
          <w:b/>
          <w:bCs/>
          <w:snapToGrid w:val="0"/>
          <w:sz w:val="28"/>
          <w:szCs w:val="28"/>
          <w:lang w:val="en-US" w:eastAsia="zh-CN"/>
        </w:rPr>
      </w:pPr>
      <w:r>
        <w:rPr>
          <w:rFonts w:hint="eastAsia" w:ascii="微软雅黑" w:hAnsi="微软雅黑" w:eastAsia="微软雅黑" w:cs="微软雅黑"/>
          <w:b/>
          <w:bCs/>
          <w:snapToGrid w:val="0"/>
          <w:sz w:val="28"/>
          <w:szCs w:val="28"/>
          <w:lang w:val="en-US" w:eastAsia="zh-CN"/>
        </w:rPr>
        <w:t>“碳市场机制与企业碳管理”高级课程培训通知</w:t>
      </w:r>
    </w:p>
    <w:p>
      <w:pPr>
        <w:pStyle w:val="12"/>
        <w:rPr>
          <w:rFonts w:hint="eastAsia" w:ascii="宋体" w:hAnsi="宋体" w:eastAsia="宋体" w:cs="宋体"/>
          <w:b/>
          <w:bCs/>
          <w:snapToGrid w:val="0"/>
          <w:sz w:val="28"/>
          <w:szCs w:val="28"/>
          <w:lang w:val="en-US" w:eastAsia="zh-CN"/>
        </w:rPr>
      </w:pPr>
      <w:r>
        <w:rPr>
          <w:rFonts w:hint="eastAsia" w:ascii="宋体" w:hAnsi="宋体" w:eastAsia="宋体" w:cs="宋体"/>
          <w:b/>
          <w:bCs/>
          <w:snapToGrid w:val="0"/>
          <w:sz w:val="28"/>
          <w:szCs w:val="28"/>
          <w:lang w:val="en-US" w:eastAsia="zh-CN"/>
        </w:rPr>
        <w:t>一、培训介绍：</w:t>
      </w:r>
    </w:p>
    <w:p>
      <w:pPr>
        <w:pStyle w:val="12"/>
        <w:ind w:firstLine="560" w:firstLineChars="200"/>
        <w:rPr>
          <w:rFonts w:hint="eastAsia" w:ascii="宋体" w:hAnsi="宋体" w:eastAsia="宋体" w:cs="宋体"/>
          <w:b w:val="0"/>
          <w:bCs w:val="0"/>
          <w:snapToGrid w:val="0"/>
          <w:sz w:val="28"/>
          <w:szCs w:val="28"/>
          <w:lang w:val="en-US" w:eastAsia="zh-CN"/>
        </w:rPr>
      </w:pPr>
      <w:r>
        <w:rPr>
          <w:rFonts w:hint="eastAsia" w:ascii="宋体" w:hAnsi="宋体" w:eastAsia="宋体" w:cs="宋体"/>
          <w:b w:val="0"/>
          <w:bCs w:val="0"/>
          <w:snapToGrid w:val="0"/>
          <w:sz w:val="28"/>
          <w:szCs w:val="28"/>
          <w:lang w:val="en-US" w:eastAsia="zh-CN"/>
        </w:rPr>
        <w:t>2020年9月，我国在第75届联合国大会上宣布，中国将提高国家自主贡献力度，采取更加有力的政策和措施，二氧化碳排放力争于2030年前达到峰值，努力争取2060年前实现碳中和。</w:t>
      </w:r>
    </w:p>
    <w:p>
      <w:pPr>
        <w:pStyle w:val="12"/>
        <w:ind w:firstLine="560" w:firstLineChars="200"/>
        <w:rPr>
          <w:rFonts w:hint="eastAsia" w:ascii="宋体" w:hAnsi="宋体" w:eastAsia="宋体" w:cs="宋体"/>
          <w:b w:val="0"/>
          <w:bCs w:val="0"/>
          <w:snapToGrid w:val="0"/>
          <w:sz w:val="28"/>
          <w:szCs w:val="28"/>
          <w:lang w:val="en-US" w:eastAsia="zh-CN"/>
        </w:rPr>
      </w:pPr>
      <w:r>
        <w:rPr>
          <w:rFonts w:hint="eastAsia" w:ascii="宋体" w:hAnsi="宋体" w:eastAsia="宋体" w:cs="宋体"/>
          <w:b w:val="0"/>
          <w:bCs w:val="0"/>
          <w:snapToGrid w:val="0"/>
          <w:sz w:val="28"/>
          <w:szCs w:val="28"/>
          <w:lang w:val="en-US" w:eastAsia="zh-CN"/>
        </w:rPr>
        <w:t>面对今年全国统一碳市场启动运行的新动态，发电、钢铁、石化、化工、建材、有色、造纸、民航等能耗和排放较为集中的行业，将切实面临“碳约束”带来的新挑战。全国碳市场相关配套管理制度如何制定，MRV规则及第三方核查机构如何监管，优先启动的电力行业配额分配方法以及行业基准值如何确定，双碳背景下企业如何应对碳排放权交易市场，降低企业履约成本或追求企业利润最大化等等，均是碳市场各相关参与方重点关注的核心议题。</w:t>
      </w:r>
    </w:p>
    <w:p>
      <w:pPr>
        <w:pStyle w:val="12"/>
        <w:ind w:firstLine="560" w:firstLineChars="200"/>
        <w:rPr>
          <w:rFonts w:hint="eastAsia" w:ascii="宋体" w:hAnsi="宋体" w:eastAsia="宋体" w:cs="宋体"/>
          <w:b w:val="0"/>
          <w:bCs w:val="0"/>
          <w:snapToGrid w:val="0"/>
          <w:sz w:val="28"/>
          <w:szCs w:val="28"/>
          <w:lang w:val="en-US" w:eastAsia="zh-CN"/>
        </w:rPr>
      </w:pPr>
      <w:r>
        <w:rPr>
          <w:rFonts w:hint="eastAsia" w:ascii="宋体" w:hAnsi="宋体" w:eastAsia="宋体" w:cs="宋体"/>
          <w:b w:val="0"/>
          <w:bCs w:val="0"/>
          <w:snapToGrid w:val="0"/>
          <w:sz w:val="28"/>
          <w:szCs w:val="28"/>
          <w:lang w:val="en-US" w:eastAsia="zh-CN"/>
        </w:rPr>
        <w:t>为协助相关企业深入了解碳交易机制设计原理和关键要素、理解碳交易带来的风险和机遇、明确参与碳交易市场的主要环节和交易手段、掌握碳交易的基本策略，学习大型央企碳管理经验，帮助广大企业实现“碳成本”向“碳机遇”的成功转变，</w:t>
      </w:r>
      <w:r>
        <w:rPr>
          <w:rFonts w:hint="eastAsia" w:ascii="宋体" w:hAnsi="宋体" w:eastAsia="宋体" w:cs="宋体"/>
          <w:snapToGrid w:val="0"/>
          <w:sz w:val="28"/>
          <w:szCs w:val="28"/>
          <w:lang w:val="en-US" w:eastAsia="zh-CN"/>
        </w:rPr>
        <w:t>中国节能协会碳中和专业委员会副主任委员单位、青岛市节能协会碳中和专业委员会主任委员单位，山东世通国际认证有限公司作为国内权威第三方认证机构以及CCAA温室气体和核查员注册推荐机构，以其资源优势和丰富实践经验，携手中创碳投教育，</w:t>
      </w:r>
      <w:r>
        <w:rPr>
          <w:rFonts w:hint="eastAsia" w:ascii="宋体" w:hAnsi="宋体" w:eastAsia="宋体" w:cs="宋体"/>
          <w:b w:val="0"/>
          <w:bCs w:val="0"/>
          <w:snapToGrid w:val="0"/>
          <w:sz w:val="28"/>
          <w:szCs w:val="28"/>
          <w:lang w:val="en-US" w:eastAsia="zh-CN"/>
        </w:rPr>
        <w:t>全力打造“碳市场机制与企业碳管理”高级课程。</w:t>
      </w:r>
    </w:p>
    <w:p>
      <w:pPr>
        <w:pStyle w:val="12"/>
        <w:rPr>
          <w:rFonts w:hint="eastAsia" w:ascii="宋体" w:hAnsi="宋体" w:eastAsia="宋体" w:cs="宋体"/>
          <w:b/>
          <w:bCs/>
          <w:snapToGrid w:val="0"/>
          <w:sz w:val="28"/>
          <w:szCs w:val="28"/>
          <w:lang w:val="en-US" w:eastAsia="zh-CN"/>
        </w:rPr>
      </w:pPr>
      <w:r>
        <w:rPr>
          <w:rFonts w:hint="eastAsia" w:ascii="宋体" w:hAnsi="宋体" w:eastAsia="宋体" w:cs="宋体"/>
          <w:b/>
          <w:bCs/>
          <w:snapToGrid w:val="0"/>
          <w:sz w:val="28"/>
          <w:szCs w:val="28"/>
          <w:lang w:val="en-US" w:eastAsia="zh-CN"/>
        </w:rPr>
        <w:t>二、培训亮点：</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1.快速提升综合专业素质：系统了解碳市场的最新政策、掌握碳交易机制核心知识点、制定科学的综合能源管理策略。</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2.体验互动式课程学习：理论知识紧密衔接案例模拟及互动，互动中加深理解课程内容，全新互动式课堂体验。</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3.轻松掌握实操技能:通过模拟操盘，亲身参与体验碳交易，掌握碳交易基本策略。</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4.权威机构能力认定：参与培训并考核合格的学员将获得由国家职业资格培训鉴定实验基地授予的“碳管理师”职业课程培训证书，为相关岗位储备和推荐优秀人才，拓展学员职业规划领域，提升个人职业发展能力。</w:t>
      </w:r>
    </w:p>
    <w:p>
      <w:pPr>
        <w:pStyle w:val="12"/>
        <w:rPr>
          <w:rFonts w:hint="eastAsia" w:ascii="宋体" w:hAnsi="宋体" w:eastAsia="宋体" w:cs="宋体"/>
          <w:snapToGrid w:val="0"/>
          <w:sz w:val="24"/>
          <w:szCs w:val="24"/>
          <w:lang w:val="en-US" w:eastAsia="zh-CN"/>
        </w:rPr>
      </w:pPr>
      <w:r>
        <w:rPr>
          <w:rFonts w:hint="eastAsia" w:ascii="宋体" w:hAnsi="宋体" w:eastAsia="宋体" w:cs="宋体"/>
          <w:snapToGrid w:val="0"/>
          <w:sz w:val="24"/>
          <w:szCs w:val="24"/>
          <w:lang w:val="en-US" w:eastAsia="zh-CN"/>
        </w:rPr>
        <w:t>（注：国家职业资格培训鉴定实验基地是国家人力资源和社会保障部在天津建立的综合性职业标准开发机构。主要承担新职业标准研发和推广工作，开展培训鉴定实验项目和课题研究，进行新职业教材和课程设计，建立新职业考核标准、考试题库等。）</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drawing>
          <wp:anchor distT="0" distB="0" distL="114300" distR="114300" simplePos="0" relativeHeight="251660288" behindDoc="0" locked="0" layoutInCell="1" allowOverlap="1">
            <wp:simplePos x="0" y="0"/>
            <wp:positionH relativeFrom="column">
              <wp:posOffset>556895</wp:posOffset>
            </wp:positionH>
            <wp:positionV relativeFrom="paragraph">
              <wp:posOffset>53975</wp:posOffset>
            </wp:positionV>
            <wp:extent cx="4171950" cy="1537970"/>
            <wp:effectExtent l="0" t="0" r="0" b="5080"/>
            <wp:wrapSquare wrapText="bothSides"/>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4"/>
                    <a:stretch>
                      <a:fillRect/>
                    </a:stretch>
                  </pic:blipFill>
                  <pic:spPr>
                    <a:xfrm>
                      <a:off x="0" y="0"/>
                      <a:ext cx="4171950" cy="1537970"/>
                    </a:xfrm>
                    <a:prstGeom prst="rect">
                      <a:avLst/>
                    </a:prstGeom>
                    <a:noFill/>
                    <a:ln w="9525">
                      <a:noFill/>
                    </a:ln>
                  </pic:spPr>
                </pic:pic>
              </a:graphicData>
            </a:graphic>
          </wp:anchor>
        </w:drawing>
      </w:r>
    </w:p>
    <w:p>
      <w:pPr>
        <w:pStyle w:val="2"/>
        <w:keepNext w:val="0"/>
        <w:keepLines w:val="0"/>
        <w:widowControl/>
        <w:suppressLineNumbers w:val="0"/>
        <w:ind w:left="0" w:firstLine="0"/>
        <w:jc w:val="center"/>
        <w:rPr>
          <w:rFonts w:hint="eastAsia" w:ascii="宋体" w:hAnsi="宋体" w:eastAsia="宋体" w:cs="宋体"/>
          <w:sz w:val="28"/>
          <w:szCs w:val="28"/>
        </w:rPr>
      </w:pPr>
    </w:p>
    <w:p>
      <w:pPr>
        <w:pStyle w:val="2"/>
        <w:keepNext w:val="0"/>
        <w:keepLines w:val="0"/>
        <w:widowControl/>
        <w:suppressLineNumbers w:val="0"/>
        <w:ind w:left="0" w:firstLine="0"/>
        <w:jc w:val="both"/>
        <w:rPr>
          <w:rFonts w:hint="eastAsia" w:ascii="宋体" w:hAnsi="宋体" w:eastAsia="宋体" w:cs="宋体"/>
          <w:sz w:val="28"/>
          <w:szCs w:val="28"/>
        </w:rPr>
      </w:pPr>
    </w:p>
    <w:p>
      <w:pPr>
        <w:pStyle w:val="2"/>
        <w:keepNext w:val="0"/>
        <w:keepLines w:val="0"/>
        <w:widowControl/>
        <w:suppressLineNumbers w:val="0"/>
        <w:ind w:left="0" w:firstLine="0"/>
        <w:jc w:val="center"/>
        <w:rPr>
          <w:rFonts w:hint="eastAsia" w:ascii="宋体" w:hAnsi="宋体" w:eastAsia="宋体" w:cs="宋体"/>
          <w:sz w:val="28"/>
          <w:szCs w:val="28"/>
        </w:rPr>
      </w:pPr>
      <w:r>
        <w:rPr>
          <w:rFonts w:hint="eastAsia" w:ascii="宋体" w:hAnsi="宋体" w:eastAsia="宋体" w:cs="宋体"/>
          <w:sz w:val="28"/>
          <w:szCs w:val="28"/>
        </w:rPr>
        <w:t>样本证书</w:t>
      </w:r>
    </w:p>
    <w:p>
      <w:pPr>
        <w:pStyle w:val="12"/>
        <w:numPr>
          <w:ilvl w:val="0"/>
          <w:numId w:val="1"/>
        </w:numPr>
        <w:rPr>
          <w:rFonts w:hint="eastAsia" w:ascii="宋体" w:hAnsi="宋体" w:eastAsia="宋体" w:cs="宋体"/>
          <w:b/>
          <w:bCs/>
          <w:snapToGrid w:val="0"/>
          <w:sz w:val="28"/>
          <w:szCs w:val="28"/>
          <w:lang w:val="en-US" w:eastAsia="zh-CN"/>
        </w:rPr>
      </w:pPr>
      <w:r>
        <w:rPr>
          <w:rFonts w:hint="eastAsia" w:ascii="宋体" w:hAnsi="宋体" w:eastAsia="宋体" w:cs="宋体"/>
          <w:b/>
          <w:bCs/>
          <w:snapToGrid w:val="0"/>
          <w:sz w:val="28"/>
          <w:szCs w:val="28"/>
          <w:lang w:val="en-US" w:eastAsia="zh-CN"/>
        </w:rPr>
        <w:t>培训内容：</w:t>
      </w:r>
    </w:p>
    <w:p>
      <w:pPr>
        <w:pStyle w:val="12"/>
        <w:rPr>
          <w:rFonts w:hint="eastAsia" w:ascii="宋体" w:hAnsi="宋体" w:eastAsia="宋体" w:cs="宋体"/>
          <w:b/>
          <w:bCs/>
          <w:snapToGrid w:val="0"/>
          <w:sz w:val="28"/>
          <w:szCs w:val="28"/>
          <w:lang w:val="en-US" w:eastAsia="zh-CN"/>
        </w:rPr>
      </w:pPr>
      <w:r>
        <w:rPr>
          <w:rFonts w:hint="eastAsia" w:ascii="宋体" w:hAnsi="宋体" w:eastAsia="宋体" w:cs="宋体"/>
          <w:b/>
          <w:bCs/>
          <w:snapToGrid w:val="0"/>
          <w:color w:val="FF0000"/>
          <w:sz w:val="28"/>
          <w:szCs w:val="28"/>
          <w:lang w:val="en-US" w:eastAsia="zh-CN"/>
        </w:rPr>
        <w:t>模块一</w:t>
      </w:r>
      <w:r>
        <w:rPr>
          <w:rFonts w:hint="eastAsia" w:ascii="宋体" w:hAnsi="宋体" w:eastAsia="宋体" w:cs="宋体"/>
          <w:b/>
          <w:bCs/>
          <w:snapToGrid w:val="0"/>
          <w:sz w:val="28"/>
          <w:szCs w:val="28"/>
          <w:lang w:val="en-US" w:eastAsia="zh-CN"/>
        </w:rPr>
        <w:t> 中国碳市场建设背景与国际实践经验 </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·中国碳市场建设政策背景与试点实践</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·全国统一碳市场建设进展及展望 </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·国际成熟碳市场体系运行经验分享</w:t>
      </w:r>
    </w:p>
    <w:p>
      <w:pPr>
        <w:pStyle w:val="12"/>
        <w:rPr>
          <w:rFonts w:hint="eastAsia" w:ascii="宋体" w:hAnsi="宋体" w:eastAsia="宋体" w:cs="宋体"/>
          <w:b/>
          <w:bCs/>
          <w:snapToGrid w:val="0"/>
          <w:sz w:val="28"/>
          <w:szCs w:val="28"/>
          <w:lang w:val="en-US" w:eastAsia="zh-CN"/>
        </w:rPr>
      </w:pPr>
      <w:r>
        <w:rPr>
          <w:rFonts w:hint="eastAsia" w:ascii="宋体" w:hAnsi="宋体" w:eastAsia="宋体" w:cs="宋体"/>
          <w:b/>
          <w:bCs/>
          <w:snapToGrid w:val="0"/>
          <w:color w:val="FF0000"/>
          <w:sz w:val="28"/>
          <w:szCs w:val="28"/>
          <w:lang w:val="en-US" w:eastAsia="zh-CN"/>
        </w:rPr>
        <w:t>模块二</w:t>
      </w:r>
      <w:r>
        <w:rPr>
          <w:rFonts w:hint="eastAsia" w:ascii="宋体" w:hAnsi="宋体" w:eastAsia="宋体" w:cs="宋体"/>
          <w:b/>
          <w:bCs/>
          <w:snapToGrid w:val="0"/>
          <w:sz w:val="28"/>
          <w:szCs w:val="28"/>
          <w:lang w:val="en-US" w:eastAsia="zh-CN"/>
        </w:rPr>
        <w:t> 碳交易机制基本原理与核心要素剖析</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·碳市场总量设定与配额分配方法</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·企业碳排放数据监测报告与核算核查制度</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·中国自愿减排CCER项目与抵消机制案例分析</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·中国特色“双城”注册登记系统与交易结算平台介绍</w:t>
      </w:r>
    </w:p>
    <w:p>
      <w:pPr>
        <w:pStyle w:val="12"/>
        <w:rPr>
          <w:rFonts w:hint="eastAsia" w:ascii="宋体" w:hAnsi="宋体" w:eastAsia="宋体" w:cs="宋体"/>
          <w:b/>
          <w:bCs/>
          <w:snapToGrid w:val="0"/>
          <w:sz w:val="28"/>
          <w:szCs w:val="28"/>
          <w:lang w:val="en-US" w:eastAsia="zh-CN"/>
        </w:rPr>
      </w:pPr>
      <w:r>
        <w:rPr>
          <w:rFonts w:hint="eastAsia" w:ascii="宋体" w:hAnsi="宋体" w:eastAsia="宋体" w:cs="宋体"/>
          <w:b/>
          <w:bCs/>
          <w:snapToGrid w:val="0"/>
          <w:color w:val="FF0000"/>
          <w:sz w:val="28"/>
          <w:szCs w:val="28"/>
          <w:lang w:val="en-US" w:eastAsia="zh-CN"/>
        </w:rPr>
        <w:t>模块三</w:t>
      </w:r>
      <w:r>
        <w:rPr>
          <w:rFonts w:hint="eastAsia" w:ascii="宋体" w:hAnsi="宋体" w:eastAsia="宋体" w:cs="宋体"/>
          <w:b/>
          <w:bCs/>
          <w:snapToGrid w:val="0"/>
          <w:sz w:val="28"/>
          <w:szCs w:val="28"/>
          <w:lang w:val="en-US" w:eastAsia="zh-CN"/>
        </w:rPr>
        <w:t> 企业碳资产管理策略与履约交易实践 </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·企业参与碳交易策略分享及典型案例解析 </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·企业碳金融与绿色金融创新实践</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·企业碳资产财务管理与政策解读</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·企业碳交易中的法律风险识别与应对</w:t>
      </w:r>
    </w:p>
    <w:p>
      <w:pPr>
        <w:pStyle w:val="12"/>
        <w:rPr>
          <w:rFonts w:hint="eastAsia" w:ascii="宋体" w:hAnsi="宋体" w:eastAsia="宋体" w:cs="宋体"/>
          <w:b/>
          <w:bCs/>
          <w:snapToGrid w:val="0"/>
          <w:sz w:val="28"/>
          <w:szCs w:val="28"/>
          <w:lang w:val="en-US" w:eastAsia="zh-CN"/>
        </w:rPr>
      </w:pPr>
      <w:r>
        <w:rPr>
          <w:rFonts w:hint="eastAsia" w:ascii="宋体" w:hAnsi="宋体" w:eastAsia="宋体" w:cs="宋体"/>
          <w:b/>
          <w:bCs/>
          <w:snapToGrid w:val="0"/>
          <w:color w:val="FF0000"/>
          <w:sz w:val="28"/>
          <w:szCs w:val="28"/>
          <w:lang w:val="en-US" w:eastAsia="zh-CN"/>
        </w:rPr>
        <w:t>模块四</w:t>
      </w:r>
      <w:r>
        <w:rPr>
          <w:rFonts w:hint="eastAsia" w:ascii="宋体" w:hAnsi="宋体" w:eastAsia="宋体" w:cs="宋体"/>
          <w:b/>
          <w:bCs/>
          <w:snapToGrid w:val="0"/>
          <w:sz w:val="28"/>
          <w:szCs w:val="28"/>
          <w:lang w:val="en-US" w:eastAsia="zh-CN"/>
        </w:rPr>
        <w:t> 模拟互动与实操演练</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·企业碳配额盈亏测算模拟互动</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·企业碳配额交易策略实战互动</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·碳配额交易线上互动模拟实战</w:t>
      </w:r>
    </w:p>
    <w:p>
      <w:pPr>
        <w:pStyle w:val="12"/>
        <w:rPr>
          <w:rFonts w:hint="eastAsia" w:ascii="宋体" w:hAnsi="宋体" w:eastAsia="宋体" w:cs="宋体"/>
          <w:b/>
          <w:bCs/>
          <w:snapToGrid w:val="0"/>
          <w:sz w:val="28"/>
          <w:szCs w:val="28"/>
          <w:lang w:val="en-US" w:eastAsia="zh-CN"/>
        </w:rPr>
      </w:pPr>
    </w:p>
    <w:p>
      <w:pPr>
        <w:pStyle w:val="12"/>
        <w:rPr>
          <w:rFonts w:hint="eastAsia" w:ascii="宋体" w:hAnsi="宋体" w:eastAsia="宋体" w:cs="宋体"/>
          <w:b/>
          <w:bCs/>
          <w:snapToGrid w:val="0"/>
          <w:sz w:val="28"/>
          <w:szCs w:val="28"/>
          <w:lang w:val="en-US" w:eastAsia="zh-CN"/>
        </w:rPr>
      </w:pPr>
      <w:r>
        <w:rPr>
          <w:rFonts w:hint="eastAsia" w:ascii="宋体" w:hAnsi="宋体" w:eastAsia="宋体" w:cs="宋体"/>
          <w:b/>
          <w:bCs/>
          <w:snapToGrid w:val="0"/>
          <w:sz w:val="28"/>
          <w:szCs w:val="28"/>
          <w:lang w:val="en-US" w:eastAsia="zh-CN"/>
        </w:rPr>
        <w:t>四、培训对象：</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1.纳入国家统一碳市场及试点碳市场控排企业的相关碳管理和技术人员，以及电力、能源管理相关人员。</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2.政府、企（事）业单位等负责低碳发展与管理的相关人员。</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3.金融机构、高校、科研单位、碳资产管理公司、电力交易公司等技术支撑机构相关人员。</w:t>
      </w:r>
    </w:p>
    <w:p>
      <w:pPr>
        <w:pStyle w:val="12"/>
        <w:rPr>
          <w:rFonts w:hint="eastAsia" w:ascii="宋体" w:hAnsi="宋体" w:eastAsia="宋体" w:cs="宋体"/>
          <w:b/>
          <w:bCs/>
          <w:snapToGrid w:val="0"/>
          <w:sz w:val="28"/>
          <w:szCs w:val="28"/>
          <w:lang w:val="en-US" w:eastAsia="zh-CN"/>
        </w:rPr>
      </w:pPr>
      <w:r>
        <w:rPr>
          <w:rFonts w:hint="eastAsia" w:ascii="宋体" w:hAnsi="宋体" w:eastAsia="宋体" w:cs="宋体"/>
          <w:snapToGrid w:val="0"/>
          <w:sz w:val="28"/>
          <w:szCs w:val="28"/>
          <w:lang w:val="en-US" w:eastAsia="zh-CN"/>
        </w:rPr>
        <w:t>4.对碳排放权交易、企业碳中和战略、用能管理感兴趣的其他人员。</w:t>
      </w:r>
    </w:p>
    <w:p>
      <w:pPr>
        <w:pStyle w:val="12"/>
        <w:rPr>
          <w:rFonts w:hint="eastAsia" w:ascii="宋体" w:hAnsi="宋体" w:eastAsia="宋体" w:cs="宋体"/>
          <w:b/>
          <w:bCs/>
          <w:snapToGrid w:val="0"/>
          <w:sz w:val="28"/>
          <w:szCs w:val="28"/>
          <w:lang w:val="en-US" w:eastAsia="zh-CN"/>
        </w:rPr>
      </w:pPr>
    </w:p>
    <w:p>
      <w:pPr>
        <w:pStyle w:val="12"/>
        <w:rPr>
          <w:rFonts w:hint="eastAsia" w:ascii="宋体" w:hAnsi="宋体" w:eastAsia="宋体" w:cs="宋体"/>
          <w:b/>
          <w:bCs/>
          <w:snapToGrid w:val="0"/>
          <w:sz w:val="28"/>
          <w:szCs w:val="28"/>
          <w:lang w:val="en-US" w:eastAsia="zh-CN"/>
        </w:rPr>
      </w:pPr>
      <w:r>
        <w:rPr>
          <w:rFonts w:hint="eastAsia" w:ascii="宋体" w:hAnsi="宋体" w:eastAsia="宋体" w:cs="宋体"/>
          <w:b/>
          <w:bCs/>
          <w:snapToGrid w:val="0"/>
          <w:sz w:val="28"/>
          <w:szCs w:val="28"/>
          <w:lang w:val="en-US" w:eastAsia="zh-CN"/>
        </w:rPr>
        <w:t>五、培训安排</w:t>
      </w:r>
    </w:p>
    <w:p>
      <w:pPr>
        <w:pStyle w:val="12"/>
        <w:rPr>
          <w:rFonts w:hint="eastAsia" w:ascii="宋体" w:hAnsi="宋体" w:eastAsia="宋体" w:cs="宋体"/>
          <w:b w:val="0"/>
          <w:bCs w:val="0"/>
          <w:snapToGrid w:val="0"/>
          <w:sz w:val="28"/>
          <w:szCs w:val="28"/>
          <w:lang w:val="en-US" w:eastAsia="zh-CN"/>
        </w:rPr>
      </w:pPr>
      <w:r>
        <w:rPr>
          <w:rFonts w:hint="eastAsia" w:ascii="宋体" w:hAnsi="宋体" w:eastAsia="宋体" w:cs="宋体"/>
          <w:b w:val="0"/>
          <w:bCs w:val="0"/>
          <w:snapToGrid w:val="0"/>
          <w:sz w:val="28"/>
          <w:szCs w:val="28"/>
          <w:lang w:val="en-US" w:eastAsia="zh-CN"/>
        </w:rPr>
        <w:t>地点：网络在线学习平台（可进行回看）</w:t>
      </w:r>
    </w:p>
    <w:p>
      <w:pPr>
        <w:pStyle w:val="12"/>
        <w:rPr>
          <w:rFonts w:hint="eastAsia" w:ascii="宋体" w:hAnsi="宋体" w:eastAsia="宋体" w:cs="宋体"/>
          <w:b w:val="0"/>
          <w:bCs w:val="0"/>
          <w:snapToGrid w:val="0"/>
          <w:sz w:val="28"/>
          <w:szCs w:val="28"/>
          <w:lang w:val="en-US" w:eastAsia="zh-CN"/>
        </w:rPr>
      </w:pPr>
    </w:p>
    <w:p>
      <w:pPr>
        <w:pStyle w:val="12"/>
        <w:rPr>
          <w:rFonts w:hint="eastAsia" w:ascii="宋体" w:hAnsi="宋体" w:eastAsia="宋体" w:cs="宋体"/>
          <w:b/>
          <w:bCs/>
          <w:snapToGrid w:val="0"/>
          <w:sz w:val="28"/>
          <w:szCs w:val="28"/>
          <w:lang w:val="en-US" w:eastAsia="zh-CN"/>
        </w:rPr>
      </w:pPr>
      <w:r>
        <w:rPr>
          <w:rFonts w:hint="eastAsia" w:ascii="宋体" w:hAnsi="宋体" w:eastAsia="宋体" w:cs="宋体"/>
          <w:b/>
          <w:bCs/>
          <w:snapToGrid w:val="0"/>
          <w:sz w:val="28"/>
          <w:szCs w:val="28"/>
          <w:lang w:val="en-US" w:eastAsia="zh-CN"/>
        </w:rPr>
        <w:t>六、收费标准</w:t>
      </w:r>
    </w:p>
    <w:p>
      <w:pPr>
        <w:pStyle w:val="12"/>
        <w:rPr>
          <w:rFonts w:hint="eastAsia" w:ascii="宋体" w:hAnsi="宋体" w:eastAsia="宋体" w:cs="宋体"/>
          <w:snapToGrid w:val="0"/>
          <w:sz w:val="28"/>
          <w:szCs w:val="28"/>
          <w:lang w:val="en-US" w:eastAsia="zh-CN"/>
        </w:rPr>
      </w:pPr>
      <w:r>
        <w:rPr>
          <w:rFonts w:hint="eastAsia" w:ascii="宋体" w:hAnsi="宋体" w:eastAsia="宋体" w:cs="宋体"/>
          <w:snapToGrid w:val="0"/>
          <w:sz w:val="28"/>
          <w:szCs w:val="28"/>
          <w:lang w:val="en-US" w:eastAsia="zh-CN"/>
        </w:rPr>
        <w:t>优惠价</w:t>
      </w:r>
      <w:r>
        <w:rPr>
          <w:rFonts w:hint="eastAsia" w:ascii="宋体" w:hAnsi="宋体" w:eastAsia="宋体" w:cs="宋体"/>
          <w:b/>
          <w:bCs/>
          <w:snapToGrid w:val="0"/>
          <w:sz w:val="28"/>
          <w:szCs w:val="28"/>
          <w:lang w:val="en-US" w:eastAsia="zh-CN"/>
        </w:rPr>
        <w:t>1999/人/期</w:t>
      </w:r>
      <w:r>
        <w:rPr>
          <w:rFonts w:hint="eastAsia" w:ascii="宋体" w:hAnsi="宋体" w:eastAsia="宋体" w:cs="宋体"/>
          <w:snapToGrid w:val="0"/>
          <w:sz w:val="28"/>
          <w:szCs w:val="28"/>
          <w:lang w:val="en-US" w:eastAsia="zh-CN"/>
        </w:rPr>
        <w:t>（包括授课费、电子版教材、线上考试费和证书费。如已经关注“世通认证碳中和最新资讯沟通群”并成功领取300元培训基金的，本次培训可减免对应金额的费用。），其他费用自理。</w:t>
      </w:r>
    </w:p>
    <w:tbl>
      <w:tblPr>
        <w:tblStyle w:val="4"/>
        <w:tblpPr w:leftFromText="180" w:rightFromText="180" w:vertAnchor="text" w:horzAnchor="page" w:tblpX="1781" w:tblpY="5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1"/>
        <w:gridCol w:w="1367"/>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Merge w:val="restart"/>
            <w:vAlign w:val="center"/>
          </w:tcPr>
          <w:p>
            <w:pPr>
              <w:pStyle w:val="12"/>
              <w:widowControl w:val="0"/>
              <w:jc w:val="center"/>
              <w:rPr>
                <w:rFonts w:hint="eastAsia" w:ascii="宋体" w:hAnsi="宋体" w:eastAsia="宋体" w:cs="宋体"/>
                <w:snapToGrid w:val="0"/>
                <w:sz w:val="28"/>
                <w:szCs w:val="28"/>
                <w:vertAlign w:val="baseline"/>
                <w:lang w:val="en-US" w:eastAsia="zh-CN"/>
              </w:rPr>
            </w:pPr>
            <w:r>
              <w:rPr>
                <w:rFonts w:hint="eastAsia" w:ascii="宋体" w:hAnsi="宋体" w:eastAsia="宋体" w:cs="宋体"/>
                <w:snapToGrid w:val="0"/>
                <w:sz w:val="28"/>
                <w:szCs w:val="28"/>
                <w:vertAlign w:val="baseline"/>
                <w:lang w:val="en-US" w:eastAsia="zh-CN"/>
              </w:rPr>
              <w:t>汇款信息</w:t>
            </w:r>
          </w:p>
        </w:tc>
        <w:tc>
          <w:tcPr>
            <w:tcW w:w="1367" w:type="dxa"/>
            <w:vAlign w:val="center"/>
          </w:tcPr>
          <w:p>
            <w:pPr>
              <w:pStyle w:val="12"/>
              <w:widowControl w:val="0"/>
              <w:jc w:val="center"/>
              <w:rPr>
                <w:rFonts w:hint="eastAsia" w:ascii="宋体" w:hAnsi="宋体" w:eastAsia="宋体" w:cs="宋体"/>
                <w:snapToGrid w:val="0"/>
                <w:sz w:val="28"/>
                <w:szCs w:val="28"/>
                <w:vertAlign w:val="baseline"/>
                <w:lang w:val="en-US" w:eastAsia="zh-CN"/>
              </w:rPr>
            </w:pPr>
            <w:r>
              <w:rPr>
                <w:rFonts w:hint="eastAsia" w:ascii="宋体" w:hAnsi="宋体" w:eastAsia="宋体" w:cs="宋体"/>
                <w:snapToGrid w:val="0"/>
                <w:sz w:val="28"/>
                <w:szCs w:val="28"/>
                <w:vertAlign w:val="baseline"/>
                <w:lang w:val="en-US" w:eastAsia="zh-CN"/>
              </w:rPr>
              <w:t>单位名称</w:t>
            </w:r>
          </w:p>
        </w:tc>
        <w:tc>
          <w:tcPr>
            <w:tcW w:w="5908" w:type="dxa"/>
            <w:vAlign w:val="center"/>
          </w:tcPr>
          <w:p>
            <w:pPr>
              <w:pStyle w:val="12"/>
              <w:widowControl w:val="0"/>
              <w:jc w:val="center"/>
              <w:rPr>
                <w:rFonts w:hint="eastAsia" w:ascii="宋体" w:hAnsi="宋体" w:eastAsia="宋体" w:cs="宋体"/>
                <w:snapToGrid w:val="0"/>
                <w:sz w:val="28"/>
                <w:szCs w:val="28"/>
                <w:vertAlign w:val="baseline"/>
                <w:lang w:val="en-US" w:eastAsia="zh-CN"/>
              </w:rPr>
            </w:pPr>
            <w:r>
              <w:rPr>
                <w:rFonts w:hint="eastAsia" w:ascii="宋体" w:hAnsi="宋体" w:eastAsia="宋体" w:cs="宋体"/>
                <w:sz w:val="28"/>
                <w:szCs w:val="28"/>
              </w:rPr>
              <w:t>山东世通国际认证有限公司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Merge w:val="continue"/>
            <w:vAlign w:val="center"/>
          </w:tcPr>
          <w:p>
            <w:pPr>
              <w:pStyle w:val="12"/>
              <w:widowControl w:val="0"/>
              <w:jc w:val="center"/>
              <w:rPr>
                <w:rFonts w:hint="eastAsia" w:ascii="宋体" w:hAnsi="宋体" w:eastAsia="宋体" w:cs="宋体"/>
                <w:snapToGrid w:val="0"/>
                <w:sz w:val="28"/>
                <w:szCs w:val="28"/>
                <w:vertAlign w:val="baseline"/>
                <w:lang w:val="en-US" w:eastAsia="zh-CN"/>
              </w:rPr>
            </w:pPr>
          </w:p>
        </w:tc>
        <w:tc>
          <w:tcPr>
            <w:tcW w:w="1367" w:type="dxa"/>
            <w:vAlign w:val="center"/>
          </w:tcPr>
          <w:p>
            <w:pPr>
              <w:pStyle w:val="12"/>
              <w:widowControl w:val="0"/>
              <w:jc w:val="center"/>
              <w:rPr>
                <w:rFonts w:hint="eastAsia" w:ascii="宋体" w:hAnsi="宋体" w:eastAsia="宋体" w:cs="宋体"/>
                <w:snapToGrid w:val="0"/>
                <w:sz w:val="28"/>
                <w:szCs w:val="28"/>
                <w:vertAlign w:val="baseline"/>
                <w:lang w:val="en-US" w:eastAsia="zh-CN"/>
              </w:rPr>
            </w:pPr>
            <w:r>
              <w:rPr>
                <w:rFonts w:hint="eastAsia" w:ascii="宋体" w:hAnsi="宋体" w:eastAsia="宋体" w:cs="宋体"/>
                <w:snapToGrid w:val="0"/>
                <w:sz w:val="28"/>
                <w:szCs w:val="28"/>
                <w:vertAlign w:val="baseline"/>
                <w:lang w:val="en-US" w:eastAsia="zh-CN"/>
              </w:rPr>
              <w:t>开户银行</w:t>
            </w:r>
          </w:p>
        </w:tc>
        <w:tc>
          <w:tcPr>
            <w:tcW w:w="5908" w:type="dxa"/>
            <w:vAlign w:val="center"/>
          </w:tcPr>
          <w:p>
            <w:pPr>
              <w:pStyle w:val="12"/>
              <w:widowControl w:val="0"/>
              <w:jc w:val="center"/>
              <w:rPr>
                <w:rFonts w:hint="eastAsia" w:ascii="宋体" w:hAnsi="宋体" w:eastAsia="宋体" w:cs="宋体"/>
                <w:snapToGrid w:val="0"/>
                <w:sz w:val="28"/>
                <w:szCs w:val="28"/>
                <w:vertAlign w:val="baseline"/>
                <w:lang w:val="en-US" w:eastAsia="zh-CN"/>
              </w:rPr>
            </w:pPr>
            <w:r>
              <w:rPr>
                <w:rFonts w:hint="eastAsia" w:ascii="宋体" w:hAnsi="宋体" w:eastAsia="宋体" w:cs="宋体"/>
                <w:sz w:val="28"/>
                <w:szCs w:val="28"/>
              </w:rPr>
              <w:t>中国建设银行青岛市高新技术产业开发区支行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vMerge w:val="continue"/>
            <w:vAlign w:val="center"/>
          </w:tcPr>
          <w:p>
            <w:pPr>
              <w:pStyle w:val="12"/>
              <w:widowControl w:val="0"/>
              <w:jc w:val="center"/>
              <w:rPr>
                <w:rFonts w:hint="eastAsia" w:ascii="宋体" w:hAnsi="宋体" w:eastAsia="宋体" w:cs="宋体"/>
                <w:snapToGrid w:val="0"/>
                <w:sz w:val="28"/>
                <w:szCs w:val="28"/>
                <w:vertAlign w:val="baseline"/>
                <w:lang w:val="en-US" w:eastAsia="zh-CN"/>
              </w:rPr>
            </w:pPr>
          </w:p>
        </w:tc>
        <w:tc>
          <w:tcPr>
            <w:tcW w:w="1367" w:type="dxa"/>
            <w:vAlign w:val="center"/>
          </w:tcPr>
          <w:p>
            <w:pPr>
              <w:pStyle w:val="12"/>
              <w:widowControl w:val="0"/>
              <w:jc w:val="center"/>
              <w:rPr>
                <w:rFonts w:hint="eastAsia" w:ascii="宋体" w:hAnsi="宋体" w:eastAsia="宋体" w:cs="宋体"/>
                <w:snapToGrid w:val="0"/>
                <w:sz w:val="28"/>
                <w:szCs w:val="28"/>
                <w:vertAlign w:val="baseline"/>
                <w:lang w:val="en-US" w:eastAsia="zh-CN"/>
              </w:rPr>
            </w:pPr>
            <w:r>
              <w:rPr>
                <w:rFonts w:hint="eastAsia" w:ascii="宋体" w:hAnsi="宋体" w:eastAsia="宋体" w:cs="宋体"/>
                <w:snapToGrid w:val="0"/>
                <w:sz w:val="28"/>
                <w:szCs w:val="28"/>
                <w:vertAlign w:val="baseline"/>
                <w:lang w:val="en-US" w:eastAsia="zh-CN"/>
              </w:rPr>
              <w:t>汇款账号</w:t>
            </w:r>
          </w:p>
        </w:tc>
        <w:tc>
          <w:tcPr>
            <w:tcW w:w="5908" w:type="dxa"/>
            <w:vAlign w:val="center"/>
          </w:tcPr>
          <w:p>
            <w:pPr>
              <w:pStyle w:val="12"/>
              <w:widowControl w:val="0"/>
              <w:jc w:val="center"/>
              <w:rPr>
                <w:rFonts w:hint="eastAsia" w:ascii="宋体" w:hAnsi="宋体" w:eastAsia="宋体" w:cs="宋体"/>
                <w:snapToGrid w:val="0"/>
                <w:sz w:val="28"/>
                <w:szCs w:val="28"/>
                <w:vertAlign w:val="baseline"/>
                <w:lang w:val="en-US" w:eastAsia="zh-CN"/>
              </w:rPr>
            </w:pPr>
            <w:r>
              <w:rPr>
                <w:rFonts w:hint="eastAsia" w:ascii="宋体" w:hAnsi="宋体" w:eastAsia="宋体" w:cs="宋体"/>
                <w:sz w:val="28"/>
                <w:szCs w:val="28"/>
              </w:rPr>
              <w:t>37101006101052500704</w:t>
            </w:r>
          </w:p>
        </w:tc>
      </w:tr>
    </w:tbl>
    <w:p>
      <w:pPr>
        <w:pStyle w:val="12"/>
        <w:rPr>
          <w:rFonts w:hint="eastAsia" w:ascii="宋体" w:hAnsi="宋体" w:eastAsia="宋体" w:cs="宋体"/>
          <w:b/>
          <w:bCs/>
          <w:snapToGrid w:val="0"/>
          <w:sz w:val="28"/>
          <w:szCs w:val="28"/>
          <w:lang w:val="en-US" w:eastAsia="zh-CN"/>
        </w:rPr>
      </w:pPr>
    </w:p>
    <w:p>
      <w:pPr>
        <w:pStyle w:val="12"/>
        <w:rPr>
          <w:rFonts w:hint="eastAsia" w:ascii="宋体" w:hAnsi="宋体" w:eastAsia="宋体" w:cs="宋体"/>
          <w:b/>
          <w:bCs/>
          <w:snapToGrid w:val="0"/>
          <w:sz w:val="28"/>
          <w:szCs w:val="28"/>
          <w:lang w:val="en-US" w:eastAsia="zh-CN"/>
        </w:rPr>
      </w:pPr>
      <w:r>
        <w:rPr>
          <w:rFonts w:hint="eastAsia" w:ascii="宋体" w:hAnsi="宋体" w:eastAsia="宋体" w:cs="宋体"/>
          <w:b/>
          <w:bCs/>
          <w:snapToGrid w:val="0"/>
          <w:sz w:val="28"/>
          <w:szCs w:val="28"/>
          <w:lang w:val="en-US" w:eastAsia="zh-CN"/>
        </w:rPr>
        <w:t>七、报名方式：</w:t>
      </w:r>
    </w:p>
    <w:p>
      <w:pPr>
        <w:pStyle w:val="12"/>
        <w:rPr>
          <w:rFonts w:hint="eastAsia" w:ascii="宋体" w:hAnsi="宋体" w:eastAsia="宋体" w:cs="宋体"/>
          <w:sz w:val="28"/>
          <w:szCs w:val="28"/>
          <w:lang w:eastAsia="zh-CN"/>
        </w:rPr>
      </w:pPr>
      <w:r>
        <w:rPr>
          <w:rFonts w:hint="eastAsia" w:ascii="宋体" w:hAnsi="宋体" w:eastAsia="宋体" w:cs="宋体"/>
          <w:snapToGrid w:val="0"/>
          <w:sz w:val="28"/>
          <w:szCs w:val="28"/>
          <w:lang w:val="en-US" w:eastAsia="zh-CN"/>
        </w:rPr>
        <w:t>教务微信：18300287781（添加后，可索取报名表）</w:t>
      </w:r>
    </w:p>
    <w:p>
      <w:pPr>
        <w:pStyle w:val="12"/>
        <w:rPr>
          <w:rFonts w:hint="eastAsia" w:ascii="宋体" w:hAnsi="宋体" w:eastAsia="宋体" w:cs="宋体"/>
          <w:b w:val="0"/>
          <w:bCs w:val="0"/>
          <w:snapToGrid w:val="0"/>
          <w:color w:val="auto"/>
          <w:sz w:val="28"/>
          <w:szCs w:val="28"/>
          <w:lang w:val="en-US" w:eastAsia="zh-CN"/>
        </w:rPr>
      </w:pPr>
      <w:r>
        <w:rPr>
          <w:rFonts w:hint="eastAsia" w:ascii="宋体" w:hAnsi="宋体" w:eastAsia="宋体" w:cs="宋体"/>
          <w:b w:val="0"/>
          <w:bCs w:val="0"/>
          <w:color w:val="auto"/>
          <w:sz w:val="28"/>
          <w:szCs w:val="28"/>
        </w:rPr>
        <w:drawing>
          <wp:anchor distT="0" distB="0" distL="114300" distR="114300" simplePos="0" relativeHeight="251659264" behindDoc="1" locked="0" layoutInCell="1" allowOverlap="1">
            <wp:simplePos x="0" y="0"/>
            <wp:positionH relativeFrom="column">
              <wp:posOffset>0</wp:posOffset>
            </wp:positionH>
            <wp:positionV relativeFrom="paragraph">
              <wp:posOffset>234950</wp:posOffset>
            </wp:positionV>
            <wp:extent cx="1744980" cy="1724025"/>
            <wp:effectExtent l="0" t="0" r="0" b="0"/>
            <wp:wrapTight wrapText="bothSides">
              <wp:wrapPolygon>
                <wp:start x="0" y="0"/>
                <wp:lineTo x="0" y="21481"/>
                <wp:lineTo x="21459" y="21481"/>
                <wp:lineTo x="21459" y="0"/>
                <wp:lineTo x="0" y="0"/>
              </wp:wrapPolygon>
            </wp:wrapTight>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5"/>
                    <a:srcRect r="1807" b="3012"/>
                    <a:stretch>
                      <a:fillRect/>
                    </a:stretch>
                  </pic:blipFill>
                  <pic:spPr>
                    <a:xfrm>
                      <a:off x="0" y="0"/>
                      <a:ext cx="1744980" cy="1724025"/>
                    </a:xfrm>
                    <a:prstGeom prst="rect">
                      <a:avLst/>
                    </a:prstGeom>
                    <a:noFill/>
                    <a:ln>
                      <a:noFill/>
                    </a:ln>
                  </pic:spPr>
                </pic:pic>
              </a:graphicData>
            </a:graphic>
          </wp:anchor>
        </w:drawing>
      </w:r>
    </w:p>
    <w:p>
      <w:pPr>
        <w:pStyle w:val="12"/>
        <w:rPr>
          <w:rFonts w:hint="eastAsia" w:ascii="宋体" w:hAnsi="宋体" w:eastAsia="宋体" w:cs="宋体"/>
          <w:b w:val="0"/>
          <w:bCs w:val="0"/>
          <w:snapToGrid w:val="0"/>
          <w:color w:val="auto"/>
          <w:sz w:val="28"/>
          <w:szCs w:val="28"/>
          <w:lang w:val="en-US" w:eastAsia="zh-CN"/>
        </w:rPr>
      </w:pPr>
      <w:r>
        <w:rPr>
          <w:rFonts w:hint="eastAsia" w:ascii="宋体" w:hAnsi="宋体" w:eastAsia="宋体" w:cs="宋体"/>
          <w:b w:val="0"/>
          <w:bCs w:val="0"/>
          <w:snapToGrid w:val="0"/>
          <w:color w:val="auto"/>
          <w:sz w:val="28"/>
          <w:szCs w:val="28"/>
          <w:lang w:val="en-US" w:eastAsia="zh-CN"/>
        </w:rPr>
        <w:t>世通认证积极响应国家号召，为实现“3060碳达峰、碳中和”的目标，勇担社会责任，设立了300元专项基金，助理碳资产管理师&amp;碳核查员技能培训和职业发展。</w:t>
      </w:r>
    </w:p>
    <w:p>
      <w:pPr>
        <w:pStyle w:val="12"/>
        <w:rPr>
          <w:rFonts w:hint="eastAsia" w:ascii="宋体" w:hAnsi="宋体" w:eastAsia="宋体" w:cs="宋体"/>
          <w:b w:val="0"/>
          <w:bCs w:val="0"/>
          <w:snapToGrid w:val="0"/>
          <w:color w:val="auto"/>
          <w:sz w:val="28"/>
          <w:szCs w:val="28"/>
          <w:lang w:val="en-US" w:eastAsia="zh-CN"/>
        </w:rPr>
      </w:pPr>
    </w:p>
    <w:p>
      <w:pPr>
        <w:pStyle w:val="12"/>
        <w:rPr>
          <w:rFonts w:ascii="微软雅黑" w:hAnsi="微软雅黑" w:eastAsia="微软雅黑" w:cs="微软雅黑"/>
          <w:i w:val="0"/>
          <w:caps w:val="0"/>
          <w:spacing w:val="8"/>
          <w:sz w:val="25"/>
          <w:szCs w:val="25"/>
          <w:u w:val="single"/>
        </w:rPr>
      </w:pPr>
      <w:r>
        <w:rPr>
          <w:rFonts w:hint="eastAsia" w:ascii="宋体" w:hAnsi="宋体" w:eastAsia="宋体" w:cs="宋体"/>
          <w:b/>
          <w:bCs/>
          <w:snapToGrid w:val="0"/>
          <w:color w:val="auto"/>
          <w:sz w:val="28"/>
          <w:szCs w:val="28"/>
          <w:lang w:val="en-US" w:eastAsia="zh-CN"/>
        </w:rPr>
        <w:t>备注：扫码入群，本次报名即可享受300元专项培训基金。</w:t>
      </w:r>
    </w:p>
    <w:p>
      <w:pPr>
        <w:jc w:val="center"/>
        <w:rPr>
          <w:rFonts w:ascii="微软雅黑" w:hAnsi="微软雅黑" w:eastAsia="微软雅黑" w:cs="微软雅黑"/>
          <w:i w:val="0"/>
          <w:iCs w:val="0"/>
          <w:caps w:val="0"/>
          <w:color w:val="171A1D"/>
          <w:spacing w:val="0"/>
          <w:sz w:val="21"/>
          <w:szCs w:val="21"/>
          <w:shd w:val="clear" w:fill="C9E7FF"/>
        </w:rPr>
      </w:pPr>
    </w:p>
    <w:p>
      <w:pPr>
        <w:jc w:val="center"/>
        <w:rPr>
          <w:rFonts w:hint="eastAsia" w:ascii="宋体" w:hAnsi="宋体" w:eastAsia="宋体" w:cs="宋体"/>
          <w:b/>
          <w:bCs/>
          <w:snapToGrid w:val="0"/>
          <w:color w:val="auto"/>
          <w:sz w:val="26"/>
          <w:szCs w:val="26"/>
          <w:lang w:val="en-US" w:eastAsia="zh-CN"/>
        </w:rPr>
      </w:pPr>
      <w:r>
        <w:rPr>
          <w:rFonts w:hint="eastAsia" w:ascii="宋体" w:hAnsi="宋体" w:eastAsia="宋体" w:cs="宋体"/>
          <w:b/>
          <w:bCs/>
          <w:snapToGrid w:val="0"/>
          <w:color w:val="auto"/>
          <w:sz w:val="26"/>
          <w:szCs w:val="26"/>
          <w:lang w:val="en-US" w:eastAsia="zh-CN"/>
        </w:rPr>
        <w:drawing>
          <wp:inline distT="0" distB="0" distL="114300" distR="114300">
            <wp:extent cx="3852545" cy="8288655"/>
            <wp:effectExtent l="0" t="0" r="14605" b="17145"/>
            <wp:docPr id="1" name="图片 1" descr="关于诚邀加入青岛市节能协会碳中和专业委员会的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关于诚邀加入青岛市节能协会碳中和专业委员会的函"/>
                    <pic:cNvPicPr>
                      <a:picLocks noChangeAspect="1"/>
                    </pic:cNvPicPr>
                  </pic:nvPicPr>
                  <pic:blipFill>
                    <a:blip r:embed="rId6"/>
                    <a:srcRect t="2653" b="2857"/>
                    <a:stretch>
                      <a:fillRect/>
                    </a:stretch>
                  </pic:blipFill>
                  <pic:spPr>
                    <a:xfrm>
                      <a:off x="0" y="0"/>
                      <a:ext cx="3852545" cy="8288655"/>
                    </a:xfrm>
                    <a:prstGeom prst="rect">
                      <a:avLst/>
                    </a:prstGeom>
                  </pic:spPr>
                </pic:pic>
              </a:graphicData>
            </a:graphic>
          </wp:inline>
        </w:drawing>
      </w:r>
    </w:p>
    <w:p>
      <w:pPr>
        <w:jc w:val="center"/>
        <w:rPr>
          <w:rFonts w:hint="eastAsia" w:ascii="微软雅黑" w:hAnsi="微软雅黑" w:eastAsia="微软雅黑" w:cs="微软雅黑"/>
          <w:i w:val="0"/>
          <w:caps w:val="0"/>
          <w:spacing w:val="8"/>
          <w:sz w:val="25"/>
          <w:szCs w:val="25"/>
          <w:u w:val="none"/>
          <w:lang w:val="en-US" w:eastAsia="zh-CN"/>
        </w:rPr>
      </w:pPr>
      <w:bookmarkStart w:id="0" w:name="_GoBack"/>
      <w:r>
        <w:rPr>
          <w:rFonts w:ascii="微软雅黑" w:hAnsi="微软雅黑" w:eastAsia="微软雅黑" w:cs="微软雅黑"/>
          <w:i w:val="0"/>
          <w:caps w:val="0"/>
          <w:spacing w:val="8"/>
          <w:sz w:val="25"/>
          <w:szCs w:val="25"/>
          <w:u w:val="single"/>
        </w:rPr>
        <w:fldChar w:fldCharType="begin"/>
      </w:r>
      <w:r>
        <w:rPr>
          <w:rFonts w:ascii="微软雅黑" w:hAnsi="微软雅黑" w:eastAsia="微软雅黑" w:cs="微软雅黑"/>
          <w:i w:val="0"/>
          <w:caps w:val="0"/>
          <w:spacing w:val="8"/>
          <w:sz w:val="25"/>
          <w:szCs w:val="25"/>
          <w:u w:val="single"/>
        </w:rPr>
        <w:instrText xml:space="preserve"> HYPERLINK "http://www.qdtzh.com/uploads/shenqingbiao.docx" </w:instrText>
      </w:r>
      <w:r>
        <w:rPr>
          <w:rFonts w:ascii="微软雅黑" w:hAnsi="微软雅黑" w:eastAsia="微软雅黑" w:cs="微软雅黑"/>
          <w:i w:val="0"/>
          <w:caps w:val="0"/>
          <w:spacing w:val="8"/>
          <w:sz w:val="25"/>
          <w:szCs w:val="25"/>
          <w:u w:val="single"/>
        </w:rPr>
        <w:fldChar w:fldCharType="separate"/>
      </w:r>
      <w:r>
        <w:rPr>
          <w:rStyle w:val="8"/>
          <w:rFonts w:hint="eastAsia" w:ascii="微软雅黑" w:hAnsi="微软雅黑" w:eastAsia="微软雅黑" w:cs="微软雅黑"/>
          <w:i w:val="0"/>
          <w:caps w:val="0"/>
          <w:color w:val="0000CD"/>
          <w:spacing w:val="8"/>
          <w:sz w:val="24"/>
          <w:szCs w:val="24"/>
          <w:u w:val="single"/>
        </w:rPr>
        <w:t>专委会单位会员入会登记表</w:t>
      </w:r>
      <w:r>
        <w:rPr>
          <w:rFonts w:hint="eastAsia" w:ascii="微软雅黑" w:hAnsi="微软雅黑" w:eastAsia="微软雅黑" w:cs="微软雅黑"/>
          <w:i w:val="0"/>
          <w:caps w:val="0"/>
          <w:spacing w:val="8"/>
          <w:sz w:val="25"/>
          <w:szCs w:val="25"/>
          <w:u w:val="single"/>
        </w:rPr>
        <w:fldChar w:fldCharType="end"/>
      </w:r>
    </w:p>
    <w:p>
      <w:pPr>
        <w:jc w:val="center"/>
        <w:rPr>
          <w:rFonts w:hint="eastAsia" w:ascii="宋体" w:hAnsi="宋体" w:eastAsia="宋体" w:cs="宋体"/>
          <w:b/>
          <w:bCs/>
          <w:snapToGrid w:val="0"/>
          <w:color w:val="000000" w:themeColor="text1"/>
          <w:sz w:val="26"/>
          <w:szCs w:val="26"/>
          <w:lang w:val="en-US" w:eastAsia="zh-CN"/>
          <w14:textFill>
            <w14:solidFill>
              <w14:schemeClr w14:val="tx1"/>
            </w14:solidFill>
          </w14:textFill>
        </w:rPr>
      </w:pPr>
      <w:r>
        <w:rPr>
          <w:rFonts w:hint="eastAsia" w:ascii="微软雅黑" w:hAnsi="微软雅黑" w:eastAsia="微软雅黑" w:cs="微软雅黑"/>
          <w:i w:val="0"/>
          <w:caps w:val="0"/>
          <w:spacing w:val="8"/>
          <w:sz w:val="25"/>
          <w:szCs w:val="25"/>
          <w:u w:val="single"/>
        </w:rPr>
        <w:fldChar w:fldCharType="begin"/>
      </w:r>
      <w:r>
        <w:rPr>
          <w:rFonts w:hint="eastAsia" w:ascii="微软雅黑" w:hAnsi="微软雅黑" w:eastAsia="微软雅黑" w:cs="微软雅黑"/>
          <w:i w:val="0"/>
          <w:caps w:val="0"/>
          <w:spacing w:val="8"/>
          <w:sz w:val="25"/>
          <w:szCs w:val="25"/>
          <w:u w:val="single"/>
        </w:rPr>
        <w:instrText xml:space="preserve"> HYPERLINK "http://www.qdtzh.com/uploads/shenqingbiao_geren.docx" </w:instrText>
      </w:r>
      <w:r>
        <w:rPr>
          <w:rFonts w:hint="eastAsia" w:ascii="微软雅黑" w:hAnsi="微软雅黑" w:eastAsia="微软雅黑" w:cs="微软雅黑"/>
          <w:i w:val="0"/>
          <w:caps w:val="0"/>
          <w:spacing w:val="8"/>
          <w:sz w:val="25"/>
          <w:szCs w:val="25"/>
          <w:u w:val="single"/>
        </w:rPr>
        <w:fldChar w:fldCharType="separate"/>
      </w:r>
      <w:r>
        <w:rPr>
          <w:rStyle w:val="8"/>
          <w:rFonts w:hint="eastAsia" w:ascii="微软雅黑" w:hAnsi="微软雅黑" w:eastAsia="微软雅黑" w:cs="微软雅黑"/>
          <w:i w:val="0"/>
          <w:caps w:val="0"/>
          <w:color w:val="0000CD"/>
          <w:spacing w:val="8"/>
          <w:sz w:val="24"/>
          <w:szCs w:val="24"/>
          <w:u w:val="single"/>
        </w:rPr>
        <w:t xml:space="preserve">专委会个人会员入会登记表 </w:t>
      </w:r>
      <w:r>
        <w:rPr>
          <w:rFonts w:hint="eastAsia" w:ascii="微软雅黑" w:hAnsi="微软雅黑" w:eastAsia="微软雅黑" w:cs="微软雅黑"/>
          <w:i w:val="0"/>
          <w:caps w:val="0"/>
          <w:spacing w:val="8"/>
          <w:sz w:val="25"/>
          <w:szCs w:val="25"/>
          <w:u w:val="single"/>
        </w:rPr>
        <w:fldChar w:fldCharType="end"/>
      </w:r>
    </w:p>
    <w:bookmarkEnd w:id="0"/>
    <w:sectPr>
      <w:pgSz w:w="11906" w:h="16838"/>
      <w:pgMar w:top="1104" w:right="1701" w:bottom="10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0EDE6B"/>
    <w:multiLevelType w:val="singleLevel"/>
    <w:tmpl w:val="7D0EDE6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F21A4"/>
    <w:rsid w:val="00A91B1A"/>
    <w:rsid w:val="02FE38CB"/>
    <w:rsid w:val="05A07AB9"/>
    <w:rsid w:val="06FF4EE0"/>
    <w:rsid w:val="07194A91"/>
    <w:rsid w:val="0A57008B"/>
    <w:rsid w:val="116C34AA"/>
    <w:rsid w:val="14AB00B5"/>
    <w:rsid w:val="15107FE7"/>
    <w:rsid w:val="16AA1B88"/>
    <w:rsid w:val="17B66B25"/>
    <w:rsid w:val="1B646313"/>
    <w:rsid w:val="1B7742CD"/>
    <w:rsid w:val="24063CD7"/>
    <w:rsid w:val="24FB2DFF"/>
    <w:rsid w:val="25D73D1F"/>
    <w:rsid w:val="271F56FA"/>
    <w:rsid w:val="2A1759A0"/>
    <w:rsid w:val="2AB92A19"/>
    <w:rsid w:val="2D051EB8"/>
    <w:rsid w:val="2DBB593C"/>
    <w:rsid w:val="2DE2416C"/>
    <w:rsid w:val="2F935724"/>
    <w:rsid w:val="3AC209DD"/>
    <w:rsid w:val="420B7C73"/>
    <w:rsid w:val="4AC868A5"/>
    <w:rsid w:val="4BB323DD"/>
    <w:rsid w:val="53594B2F"/>
    <w:rsid w:val="546E59AD"/>
    <w:rsid w:val="548E6240"/>
    <w:rsid w:val="56462E6A"/>
    <w:rsid w:val="566369A2"/>
    <w:rsid w:val="5740466D"/>
    <w:rsid w:val="59F84CB6"/>
    <w:rsid w:val="5A9D4F5D"/>
    <w:rsid w:val="5B7133F0"/>
    <w:rsid w:val="6092098E"/>
    <w:rsid w:val="60AD008C"/>
    <w:rsid w:val="66196DBE"/>
    <w:rsid w:val="67101CA2"/>
    <w:rsid w:val="672E701C"/>
    <w:rsid w:val="6D1C317C"/>
    <w:rsid w:val="75A50581"/>
    <w:rsid w:val="788A10BE"/>
    <w:rsid w:val="7F390AA7"/>
    <w:rsid w:val="7F714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FollowedHyperlink"/>
    <w:basedOn w:val="5"/>
    <w:qFormat/>
    <w:uiPriority w:val="0"/>
    <w:rPr>
      <w:color w:val="800080"/>
      <w:u w:val="single"/>
    </w:rPr>
  </w:style>
  <w:style w:type="character" w:styleId="8">
    <w:name w:val="Hyperlink"/>
    <w:basedOn w:val="5"/>
    <w:qFormat/>
    <w:uiPriority w:val="0"/>
    <w:rPr>
      <w:color w:val="0000FF"/>
      <w:u w:val="single"/>
    </w:rPr>
  </w:style>
  <w:style w:type="paragraph" w:customStyle="1" w:styleId="9">
    <w:name w:val="发文机关"/>
    <w:qFormat/>
    <w:uiPriority w:val="0"/>
    <w:pPr>
      <w:adjustRightInd w:val="0"/>
      <w:snapToGrid w:val="0"/>
      <w:spacing w:after="624" w:afterLines="200"/>
      <w:jc w:val="center"/>
    </w:pPr>
    <w:rPr>
      <w:rFonts w:ascii="Calibri" w:hAnsi="Calibri" w:eastAsia="宋体" w:cs="Times New Roman"/>
      <w:b/>
      <w:color w:val="FF0000"/>
      <w:w w:val="50"/>
      <w:kern w:val="2"/>
      <w:sz w:val="130"/>
      <w:szCs w:val="130"/>
      <w:lang w:val="en-US" w:eastAsia="zh-CN" w:bidi="ar-SA"/>
    </w:rPr>
  </w:style>
  <w:style w:type="paragraph" w:customStyle="1" w:styleId="10">
    <w:name w:val="发文字号"/>
    <w:qFormat/>
    <w:uiPriority w:val="0"/>
    <w:pPr>
      <w:pBdr>
        <w:bottom w:val="single" w:color="FF0000" w:sz="18" w:space="1"/>
      </w:pBdr>
      <w:jc w:val="center"/>
    </w:pPr>
    <w:rPr>
      <w:rFonts w:ascii="Calibri" w:hAnsi="Calibri" w:eastAsia="仿宋" w:cs="Times New Roman"/>
      <w:kern w:val="2"/>
      <w:sz w:val="32"/>
      <w:szCs w:val="21"/>
      <w:lang w:val="en-US" w:eastAsia="zh-CN" w:bidi="ar-SA"/>
    </w:rPr>
  </w:style>
  <w:style w:type="paragraph" w:customStyle="1" w:styleId="11">
    <w:name w:val="公文标题"/>
    <w:qFormat/>
    <w:uiPriority w:val="0"/>
    <w:pPr>
      <w:adjustRightInd w:val="0"/>
      <w:snapToGrid w:val="0"/>
      <w:spacing w:before="624" w:beforeLines="200" w:after="624" w:afterLines="200"/>
      <w:jc w:val="center"/>
    </w:pPr>
    <w:rPr>
      <w:rFonts w:ascii="Calibri" w:hAnsi="Calibri" w:eastAsia="宋体" w:cs="Times New Roman"/>
      <w:kern w:val="2"/>
      <w:sz w:val="44"/>
      <w:szCs w:val="21"/>
      <w:lang w:val="en-US" w:eastAsia="zh-CN" w:bidi="ar-SA"/>
    </w:rPr>
  </w:style>
  <w:style w:type="paragraph" w:customStyle="1" w:styleId="12">
    <w:name w:val="主送机关"/>
    <w:qFormat/>
    <w:uiPriority w:val="0"/>
    <w:rPr>
      <w:rFonts w:ascii="Calibri" w:hAnsi="Calibri" w:eastAsia="仿宋" w:cs="Times New Roman"/>
      <w:kern w:val="2"/>
      <w:sz w:val="32"/>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1998</Words>
  <Characters>2100</Characters>
  <Lines>0</Lines>
  <Paragraphs>0</Paragraphs>
  <TotalTime>0</TotalTime>
  <ScaleCrop>false</ScaleCrop>
  <LinksUpToDate>false</LinksUpToDate>
  <CharactersWithSpaces>2109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2021-07-16T02:19:00Z</dcterms:created>
  <dc:creator>Administrator</dc:creator>
  <cp:lastModifiedBy>凯儿康</cp:lastModifiedBy>
  <dcterms:modified xsi:type="dcterms:W3CDTF">2021-09-16T02:27:15Z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0BF6D957F70C4F57992FC9F11947B7B9</vt:lpwstr>
  </property>
</Properties>
</file>